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0BC" w:rsidRDefault="00C07D94" w:rsidP="00C07D94">
      <w:pPr>
        <w:pStyle w:val="Heading1"/>
      </w:pPr>
      <w:r>
        <w:t>Placement in the Course, Teacher Knowledge Skills and Preparation Needed</w:t>
      </w:r>
    </w:p>
    <w:p w:rsidR="00C07D94" w:rsidRDefault="00C07D94" w:rsidP="00C07D94">
      <w:pPr>
        <w:rPr>
          <w:bCs/>
        </w:rPr>
      </w:pPr>
      <w:r>
        <w:t xml:space="preserve">We have chosen to cover acids and bases at the end of the solutions and solubility unit. Therefore, because this lab is based on that material it is also placed at the end of the unit, a few days before the test. The lab correlates with the big idea that </w:t>
      </w:r>
      <w:r>
        <w:rPr>
          <w:i/>
        </w:rPr>
        <w:t>p</w:t>
      </w:r>
      <w:r w:rsidR="005F3ACB" w:rsidRPr="00C07D94">
        <w:rPr>
          <w:i/>
        </w:rPr>
        <w:t>roperties of solutions can be described qualitatively and quantitatively, and can be predicted</w:t>
      </w:r>
      <w:r>
        <w:rPr>
          <w:b/>
          <w:bCs/>
        </w:rPr>
        <w:t xml:space="preserve">. </w:t>
      </w:r>
      <w:r>
        <w:rPr>
          <w:bCs/>
        </w:rPr>
        <w:t>In the lab, the students determine quantitatively the concentration of a given acid based on its titration with a base of known concentration. The experiment is based on knowledge of the properties of acids and bases.</w:t>
      </w:r>
    </w:p>
    <w:p w:rsidR="00C07D94" w:rsidRDefault="00C07D94" w:rsidP="00C07D94">
      <w:pPr>
        <w:rPr>
          <w:bCs/>
        </w:rPr>
      </w:pPr>
      <w:r>
        <w:rPr>
          <w:bCs/>
        </w:rPr>
        <w:t xml:space="preserve">Teachers need to have a background in acid-base neutralization reactions. They must understand the properties of indicators </w:t>
      </w:r>
      <w:r w:rsidR="004820DF">
        <w:rPr>
          <w:bCs/>
        </w:rPr>
        <w:t>and their function within labs. Background knowledge of stoichiometry in relation to concentration to volume ratios is also important for this lab. Proper titration skills are also important in this lab as the teacher will need to teach these to the students. Accuracy and precision are important in</w:t>
      </w:r>
      <w:r w:rsidR="00E91973">
        <w:rPr>
          <w:bCs/>
        </w:rPr>
        <w:t xml:space="preserve"> titration labs. Proper rinsing</w:t>
      </w:r>
      <w:r w:rsidR="004820DF">
        <w:rPr>
          <w:bCs/>
        </w:rPr>
        <w:t xml:space="preserve"> of the equipment, </w:t>
      </w:r>
      <w:r w:rsidR="00E91973">
        <w:rPr>
          <w:bCs/>
        </w:rPr>
        <w:t>patient drip-by-drip titration and constant gentle swirling will ensure better results in the lab. As both acids and bases can be irritant it is important that goggles are worn throughout the lab and that teachers ensure students are working with dilute concentrations and small amou</w:t>
      </w:r>
      <w:r w:rsidR="00F107AC">
        <w:rPr>
          <w:bCs/>
        </w:rPr>
        <w:t xml:space="preserve">nts of acid and base solutions. As the final product is a neutral solution, it </w:t>
      </w:r>
      <w:proofErr w:type="gramStart"/>
      <w:r w:rsidR="00F107AC">
        <w:rPr>
          <w:bCs/>
        </w:rPr>
        <w:t>can</w:t>
      </w:r>
      <w:proofErr w:type="gramEnd"/>
      <w:r w:rsidR="00F107AC">
        <w:rPr>
          <w:bCs/>
        </w:rPr>
        <w:t xml:space="preserve"> be disposed by pouring it into the sink and diluting with tap water. Waste material can be neutralized and disposed of in the same way. If students are splashed with the acid or base the</w:t>
      </w:r>
      <w:r w:rsidR="00A90858">
        <w:rPr>
          <w:bCs/>
        </w:rPr>
        <w:t>y</w:t>
      </w:r>
      <w:r w:rsidR="00F107AC">
        <w:rPr>
          <w:bCs/>
        </w:rPr>
        <w:t xml:space="preserve"> should rinse the affected area immediately with water. </w:t>
      </w:r>
    </w:p>
    <w:p w:rsidR="00533104" w:rsidRPr="00533104" w:rsidRDefault="00533104" w:rsidP="00533104">
      <w:pPr>
        <w:rPr>
          <w:b/>
        </w:rPr>
      </w:pPr>
      <w:r>
        <w:rPr>
          <w:b/>
        </w:rPr>
        <w:t>Sample Data:</w:t>
      </w:r>
    </w:p>
    <w:tbl>
      <w:tblPr>
        <w:tblStyle w:val="TableGrid"/>
        <w:tblW w:w="0" w:type="auto"/>
        <w:jc w:val="center"/>
        <w:tblLook w:val="04A0"/>
      </w:tblPr>
      <w:tblGrid>
        <w:gridCol w:w="2394"/>
        <w:gridCol w:w="2394"/>
        <w:gridCol w:w="2628"/>
      </w:tblGrid>
      <w:tr w:rsidR="00533104" w:rsidTr="00533104">
        <w:trPr>
          <w:trHeight w:val="88"/>
          <w:jc w:val="center"/>
        </w:trPr>
        <w:tc>
          <w:tcPr>
            <w:tcW w:w="2394" w:type="dxa"/>
            <w:vMerge w:val="restart"/>
          </w:tcPr>
          <w:p w:rsidR="00533104" w:rsidRDefault="00533104" w:rsidP="004C4C10">
            <w:pPr>
              <w:jc w:val="center"/>
            </w:pPr>
          </w:p>
        </w:tc>
        <w:tc>
          <w:tcPr>
            <w:tcW w:w="5022" w:type="dxa"/>
            <w:gridSpan w:val="2"/>
          </w:tcPr>
          <w:p w:rsidR="00533104" w:rsidRDefault="00533104" w:rsidP="004C4C10">
            <w:pPr>
              <w:jc w:val="center"/>
            </w:pPr>
            <w:r>
              <w:t>Vial A Calculations</w:t>
            </w:r>
          </w:p>
        </w:tc>
      </w:tr>
      <w:tr w:rsidR="00533104" w:rsidTr="00533104">
        <w:trPr>
          <w:trHeight w:val="87"/>
          <w:jc w:val="center"/>
        </w:trPr>
        <w:tc>
          <w:tcPr>
            <w:tcW w:w="2394" w:type="dxa"/>
            <w:vMerge/>
          </w:tcPr>
          <w:p w:rsidR="00533104" w:rsidRDefault="00533104" w:rsidP="004C4C10"/>
        </w:tc>
        <w:tc>
          <w:tcPr>
            <w:tcW w:w="2394" w:type="dxa"/>
          </w:tcPr>
          <w:p w:rsidR="00533104" w:rsidRDefault="00533104" w:rsidP="004C4C10">
            <w:r>
              <w:t xml:space="preserve">Volume </w:t>
            </w:r>
            <w:proofErr w:type="spellStart"/>
            <w:r>
              <w:t>NaOH</w:t>
            </w:r>
            <w:proofErr w:type="spellEnd"/>
            <w:r>
              <w:t xml:space="preserve"> (</w:t>
            </w:r>
            <w:proofErr w:type="spellStart"/>
            <w:r>
              <w:t>mL</w:t>
            </w:r>
            <w:proofErr w:type="spellEnd"/>
            <w:r>
              <w:t>)</w:t>
            </w:r>
          </w:p>
        </w:tc>
        <w:tc>
          <w:tcPr>
            <w:tcW w:w="2628" w:type="dxa"/>
          </w:tcPr>
          <w:p w:rsidR="00533104" w:rsidRDefault="00533104" w:rsidP="004C4C10">
            <w:r>
              <w:t xml:space="preserve">Concentration of  </w:t>
            </w:r>
            <w:proofErr w:type="spellStart"/>
            <w:r>
              <w:t>HCl</w:t>
            </w:r>
            <w:proofErr w:type="spellEnd"/>
            <w:r>
              <w:t xml:space="preserve"> (M)</w:t>
            </w:r>
          </w:p>
        </w:tc>
      </w:tr>
      <w:tr w:rsidR="00581B11" w:rsidTr="00C633AC">
        <w:trPr>
          <w:jc w:val="center"/>
        </w:trPr>
        <w:tc>
          <w:tcPr>
            <w:tcW w:w="2394" w:type="dxa"/>
          </w:tcPr>
          <w:p w:rsidR="00581B11" w:rsidRDefault="00581B11" w:rsidP="004C4C10">
            <w:r>
              <w:t>Trial 1</w:t>
            </w:r>
          </w:p>
        </w:tc>
        <w:tc>
          <w:tcPr>
            <w:tcW w:w="2394" w:type="dxa"/>
            <w:vAlign w:val="bottom"/>
          </w:tcPr>
          <w:p w:rsidR="00581B11" w:rsidRPr="00581B11" w:rsidRDefault="00581B11" w:rsidP="00581B11">
            <w:pPr>
              <w:jc w:val="center"/>
              <w:rPr>
                <w:rFonts w:ascii="Calibri" w:hAnsi="Calibri" w:cs="Calibri"/>
                <w:b/>
                <w:i/>
                <w:color w:val="000000"/>
              </w:rPr>
            </w:pPr>
            <w:r w:rsidRPr="00581B11">
              <w:rPr>
                <w:rFonts w:ascii="Calibri" w:hAnsi="Calibri" w:cs="Calibri"/>
                <w:b/>
                <w:i/>
                <w:color w:val="000000"/>
              </w:rPr>
              <w:t>16</w:t>
            </w:r>
          </w:p>
        </w:tc>
        <w:tc>
          <w:tcPr>
            <w:tcW w:w="2628" w:type="dxa"/>
            <w:vAlign w:val="bottom"/>
          </w:tcPr>
          <w:p w:rsidR="00581B11" w:rsidRPr="00581B11" w:rsidRDefault="00581B11" w:rsidP="00581B11">
            <w:pPr>
              <w:jc w:val="center"/>
              <w:rPr>
                <w:rFonts w:ascii="Calibri" w:hAnsi="Calibri" w:cs="Calibri"/>
                <w:b/>
                <w:i/>
                <w:color w:val="000000"/>
              </w:rPr>
            </w:pPr>
            <w:r w:rsidRPr="00581B11">
              <w:rPr>
                <w:rFonts w:ascii="Calibri" w:hAnsi="Calibri" w:cs="Calibri"/>
                <w:b/>
                <w:i/>
                <w:color w:val="000000"/>
              </w:rPr>
              <w:t>0.1067</w:t>
            </w:r>
          </w:p>
        </w:tc>
      </w:tr>
      <w:tr w:rsidR="00581B11" w:rsidTr="00C633AC">
        <w:trPr>
          <w:jc w:val="center"/>
        </w:trPr>
        <w:tc>
          <w:tcPr>
            <w:tcW w:w="2394" w:type="dxa"/>
          </w:tcPr>
          <w:p w:rsidR="00581B11" w:rsidRDefault="00581B11" w:rsidP="004C4C10">
            <w:r>
              <w:t>Trial 2</w:t>
            </w:r>
          </w:p>
        </w:tc>
        <w:tc>
          <w:tcPr>
            <w:tcW w:w="2394" w:type="dxa"/>
            <w:vAlign w:val="bottom"/>
          </w:tcPr>
          <w:p w:rsidR="00581B11" w:rsidRPr="00581B11" w:rsidRDefault="00581B11" w:rsidP="00581B11">
            <w:pPr>
              <w:jc w:val="center"/>
              <w:rPr>
                <w:rFonts w:ascii="Calibri" w:hAnsi="Calibri" w:cs="Calibri"/>
                <w:b/>
                <w:i/>
                <w:color w:val="000000"/>
              </w:rPr>
            </w:pPr>
            <w:r w:rsidRPr="00581B11">
              <w:rPr>
                <w:rFonts w:ascii="Calibri" w:hAnsi="Calibri" w:cs="Calibri"/>
                <w:b/>
                <w:i/>
                <w:color w:val="000000"/>
              </w:rPr>
              <w:t>15.2</w:t>
            </w:r>
          </w:p>
        </w:tc>
        <w:tc>
          <w:tcPr>
            <w:tcW w:w="2628" w:type="dxa"/>
            <w:vAlign w:val="bottom"/>
          </w:tcPr>
          <w:p w:rsidR="00581B11" w:rsidRPr="00581B11" w:rsidRDefault="00581B11" w:rsidP="00581B11">
            <w:pPr>
              <w:jc w:val="center"/>
              <w:rPr>
                <w:rFonts w:ascii="Calibri" w:hAnsi="Calibri" w:cs="Calibri"/>
                <w:b/>
                <w:i/>
                <w:color w:val="000000"/>
              </w:rPr>
            </w:pPr>
            <w:r w:rsidRPr="00581B11">
              <w:rPr>
                <w:rFonts w:ascii="Calibri" w:hAnsi="Calibri" w:cs="Calibri"/>
                <w:b/>
                <w:i/>
                <w:color w:val="000000"/>
              </w:rPr>
              <w:t>0.1013</w:t>
            </w:r>
          </w:p>
        </w:tc>
      </w:tr>
      <w:tr w:rsidR="00581B11" w:rsidTr="00C633AC">
        <w:trPr>
          <w:jc w:val="center"/>
        </w:trPr>
        <w:tc>
          <w:tcPr>
            <w:tcW w:w="2394" w:type="dxa"/>
          </w:tcPr>
          <w:p w:rsidR="00581B11" w:rsidRDefault="00581B11" w:rsidP="004C4C10">
            <w:r>
              <w:t>Trial 3</w:t>
            </w:r>
          </w:p>
        </w:tc>
        <w:tc>
          <w:tcPr>
            <w:tcW w:w="2394" w:type="dxa"/>
            <w:vAlign w:val="bottom"/>
          </w:tcPr>
          <w:p w:rsidR="00581B11" w:rsidRPr="00581B11" w:rsidRDefault="00581B11" w:rsidP="00581B11">
            <w:pPr>
              <w:jc w:val="center"/>
              <w:rPr>
                <w:rFonts w:ascii="Calibri" w:hAnsi="Calibri" w:cs="Calibri"/>
                <w:b/>
                <w:i/>
                <w:color w:val="000000"/>
              </w:rPr>
            </w:pPr>
            <w:r w:rsidRPr="00581B11">
              <w:rPr>
                <w:rFonts w:ascii="Calibri" w:hAnsi="Calibri" w:cs="Calibri"/>
                <w:b/>
                <w:i/>
                <w:color w:val="000000"/>
              </w:rPr>
              <w:t>14.9</w:t>
            </w:r>
          </w:p>
        </w:tc>
        <w:tc>
          <w:tcPr>
            <w:tcW w:w="2628" w:type="dxa"/>
            <w:vAlign w:val="bottom"/>
          </w:tcPr>
          <w:p w:rsidR="00581B11" w:rsidRPr="00581B11" w:rsidRDefault="00581B11" w:rsidP="00581B11">
            <w:pPr>
              <w:jc w:val="center"/>
              <w:rPr>
                <w:rFonts w:ascii="Calibri" w:hAnsi="Calibri" w:cs="Calibri"/>
                <w:b/>
                <w:i/>
                <w:color w:val="000000"/>
              </w:rPr>
            </w:pPr>
            <w:r w:rsidRPr="00581B11">
              <w:rPr>
                <w:rFonts w:ascii="Calibri" w:hAnsi="Calibri" w:cs="Calibri"/>
                <w:b/>
                <w:i/>
                <w:color w:val="000000"/>
              </w:rPr>
              <w:t>0.0993</w:t>
            </w:r>
          </w:p>
        </w:tc>
      </w:tr>
    </w:tbl>
    <w:p w:rsidR="00533104" w:rsidRDefault="00533104" w:rsidP="00533104"/>
    <w:p w:rsidR="00533104" w:rsidRDefault="00533104" w:rsidP="00533104">
      <w:pPr>
        <w:pStyle w:val="Heading3"/>
        <w:rPr>
          <w:color w:val="auto"/>
        </w:rPr>
      </w:pPr>
      <w:r>
        <w:rPr>
          <w:color w:val="auto"/>
        </w:rPr>
        <w:t xml:space="preserve">Group </w:t>
      </w:r>
      <w:r w:rsidR="00581B11">
        <w:rPr>
          <w:color w:val="auto"/>
        </w:rPr>
        <w:t xml:space="preserve">Concentration </w:t>
      </w:r>
      <w:r>
        <w:rPr>
          <w:color w:val="auto"/>
        </w:rPr>
        <w:t>Results:</w:t>
      </w:r>
    </w:p>
    <w:tbl>
      <w:tblPr>
        <w:tblStyle w:val="TableGrid"/>
        <w:tblW w:w="0" w:type="auto"/>
        <w:tblLook w:val="04A0"/>
      </w:tblPr>
      <w:tblGrid>
        <w:gridCol w:w="2394"/>
        <w:gridCol w:w="2394"/>
        <w:gridCol w:w="2394"/>
        <w:gridCol w:w="2394"/>
      </w:tblGrid>
      <w:tr w:rsidR="00533104" w:rsidRPr="00581B11" w:rsidTr="004C4C10">
        <w:tc>
          <w:tcPr>
            <w:tcW w:w="2394" w:type="dxa"/>
          </w:tcPr>
          <w:p w:rsidR="00533104" w:rsidRDefault="00581B11" w:rsidP="004C4C10">
            <w:pPr>
              <w:jc w:val="center"/>
            </w:pPr>
            <w:r>
              <w:t xml:space="preserve">Conc. </w:t>
            </w:r>
            <w:r w:rsidR="00533104">
              <w:t>Vial A</w:t>
            </w:r>
            <w:r>
              <w:t xml:space="preserve"> (M)</w:t>
            </w:r>
          </w:p>
        </w:tc>
        <w:tc>
          <w:tcPr>
            <w:tcW w:w="2394" w:type="dxa"/>
          </w:tcPr>
          <w:p w:rsidR="00533104" w:rsidRDefault="00581B11" w:rsidP="004C4C10">
            <w:pPr>
              <w:jc w:val="center"/>
            </w:pPr>
            <w:r>
              <w:t xml:space="preserve">Conc. </w:t>
            </w:r>
            <w:r w:rsidR="00533104">
              <w:t>Vial B</w:t>
            </w:r>
            <w:r>
              <w:t xml:space="preserve"> (M)</w:t>
            </w:r>
          </w:p>
        </w:tc>
        <w:tc>
          <w:tcPr>
            <w:tcW w:w="2394" w:type="dxa"/>
          </w:tcPr>
          <w:p w:rsidR="00533104" w:rsidRPr="00581B11" w:rsidRDefault="00581B11" w:rsidP="004C4C10">
            <w:pPr>
              <w:jc w:val="center"/>
              <w:rPr>
                <w:lang w:val="fr-FR"/>
              </w:rPr>
            </w:pPr>
            <w:proofErr w:type="spellStart"/>
            <w:r w:rsidRPr="00581B11">
              <w:rPr>
                <w:lang w:val="fr-FR"/>
              </w:rPr>
              <w:t>Conc</w:t>
            </w:r>
            <w:proofErr w:type="spellEnd"/>
            <w:r w:rsidRPr="00581B11">
              <w:rPr>
                <w:lang w:val="fr-FR"/>
              </w:rPr>
              <w:t xml:space="preserve">. </w:t>
            </w:r>
            <w:r w:rsidR="00533104" w:rsidRPr="00581B11">
              <w:rPr>
                <w:lang w:val="fr-FR"/>
              </w:rPr>
              <w:t>Vial C</w:t>
            </w:r>
            <w:r>
              <w:rPr>
                <w:lang w:val="fr-FR"/>
              </w:rPr>
              <w:t xml:space="preserve"> (M)</w:t>
            </w:r>
          </w:p>
        </w:tc>
        <w:tc>
          <w:tcPr>
            <w:tcW w:w="2394" w:type="dxa"/>
          </w:tcPr>
          <w:p w:rsidR="00533104" w:rsidRPr="00581B11" w:rsidRDefault="00581B11" w:rsidP="004C4C10">
            <w:pPr>
              <w:jc w:val="center"/>
              <w:rPr>
                <w:lang w:val="fr-FR"/>
              </w:rPr>
            </w:pPr>
            <w:proofErr w:type="spellStart"/>
            <w:r>
              <w:rPr>
                <w:lang w:val="fr-FR"/>
              </w:rPr>
              <w:t>Conc</w:t>
            </w:r>
            <w:proofErr w:type="spellEnd"/>
            <w:r>
              <w:rPr>
                <w:lang w:val="fr-FR"/>
              </w:rPr>
              <w:t xml:space="preserve">. </w:t>
            </w:r>
            <w:r w:rsidR="00533104" w:rsidRPr="00581B11">
              <w:rPr>
                <w:lang w:val="fr-FR"/>
              </w:rPr>
              <w:t>Vial X</w:t>
            </w:r>
            <w:r>
              <w:rPr>
                <w:lang w:val="fr-FR"/>
              </w:rPr>
              <w:t xml:space="preserve"> (M)</w:t>
            </w:r>
          </w:p>
        </w:tc>
      </w:tr>
      <w:tr w:rsidR="00533104" w:rsidRPr="00581B11" w:rsidTr="004C4C10">
        <w:tc>
          <w:tcPr>
            <w:tcW w:w="2394" w:type="dxa"/>
          </w:tcPr>
          <w:p w:rsidR="00533104" w:rsidRPr="00581B11" w:rsidRDefault="00533104" w:rsidP="004C4C10">
            <w:pPr>
              <w:rPr>
                <w:b/>
                <w:i/>
                <w:lang w:val="fr-FR"/>
              </w:rPr>
            </w:pPr>
            <w:r w:rsidRPr="00581B11">
              <w:rPr>
                <w:b/>
                <w:i/>
                <w:lang w:val="fr-FR"/>
              </w:rPr>
              <w:t>0.1</w:t>
            </w:r>
          </w:p>
        </w:tc>
        <w:tc>
          <w:tcPr>
            <w:tcW w:w="2394" w:type="dxa"/>
          </w:tcPr>
          <w:p w:rsidR="00533104" w:rsidRPr="00581B11" w:rsidRDefault="00533104" w:rsidP="004C4C10">
            <w:pPr>
              <w:rPr>
                <w:b/>
                <w:i/>
                <w:lang w:val="fr-FR"/>
              </w:rPr>
            </w:pPr>
            <w:r w:rsidRPr="00581B11">
              <w:rPr>
                <w:b/>
                <w:i/>
                <w:lang w:val="fr-FR"/>
              </w:rPr>
              <w:t>0.2</w:t>
            </w:r>
          </w:p>
        </w:tc>
        <w:tc>
          <w:tcPr>
            <w:tcW w:w="2394" w:type="dxa"/>
          </w:tcPr>
          <w:p w:rsidR="00533104" w:rsidRPr="00581B11" w:rsidRDefault="00533104" w:rsidP="004C4C10">
            <w:pPr>
              <w:rPr>
                <w:b/>
                <w:i/>
                <w:lang w:val="fr-FR"/>
              </w:rPr>
            </w:pPr>
            <w:r w:rsidRPr="00581B11">
              <w:rPr>
                <w:b/>
                <w:i/>
                <w:lang w:val="fr-FR"/>
              </w:rPr>
              <w:t>0.3</w:t>
            </w:r>
          </w:p>
        </w:tc>
        <w:tc>
          <w:tcPr>
            <w:tcW w:w="2394" w:type="dxa"/>
          </w:tcPr>
          <w:p w:rsidR="00533104" w:rsidRPr="00581B11" w:rsidRDefault="00533104" w:rsidP="004C4C10">
            <w:pPr>
              <w:rPr>
                <w:b/>
                <w:i/>
                <w:lang w:val="fr-FR"/>
              </w:rPr>
            </w:pPr>
            <w:r w:rsidRPr="00581B11">
              <w:rPr>
                <w:b/>
                <w:i/>
                <w:lang w:val="fr-FR"/>
              </w:rPr>
              <w:t>0.2</w:t>
            </w:r>
          </w:p>
        </w:tc>
      </w:tr>
    </w:tbl>
    <w:p w:rsidR="00533104" w:rsidRDefault="00533104" w:rsidP="00533104">
      <w:pPr>
        <w:rPr>
          <w:lang w:val="fr-FR"/>
        </w:rPr>
      </w:pPr>
    </w:p>
    <w:p w:rsidR="00581B11" w:rsidRDefault="001D6876" w:rsidP="00533104">
      <w:pPr>
        <w:rPr>
          <w:b/>
        </w:rPr>
      </w:pPr>
      <w:r>
        <w:rPr>
          <w:b/>
        </w:rPr>
        <w:t xml:space="preserve">Answers to Pre-Lab </w:t>
      </w:r>
      <w:r w:rsidRPr="001D6876">
        <w:rPr>
          <w:b/>
        </w:rPr>
        <w:t>Questions</w:t>
      </w:r>
    </w:p>
    <w:p w:rsidR="001D6876" w:rsidRPr="001D6876" w:rsidRDefault="001D6876" w:rsidP="001D6876">
      <w:pPr>
        <w:pStyle w:val="ListParagraph"/>
        <w:numPr>
          <w:ilvl w:val="0"/>
          <w:numId w:val="2"/>
        </w:numPr>
      </w:pPr>
      <w:r>
        <w:t xml:space="preserve"> List the characteristics of acids and bases</w:t>
      </w:r>
    </w:p>
    <w:tbl>
      <w:tblPr>
        <w:tblStyle w:val="TableGrid"/>
        <w:tblW w:w="0" w:type="auto"/>
        <w:tblInd w:w="720" w:type="dxa"/>
        <w:tblLook w:val="04A0"/>
      </w:tblPr>
      <w:tblGrid>
        <w:gridCol w:w="4431"/>
        <w:gridCol w:w="4425"/>
      </w:tblGrid>
      <w:tr w:rsidR="001D6876" w:rsidTr="001D6876">
        <w:tc>
          <w:tcPr>
            <w:tcW w:w="4788" w:type="dxa"/>
          </w:tcPr>
          <w:p w:rsidR="001D6876" w:rsidRPr="001D6876" w:rsidRDefault="001D6876" w:rsidP="001D6876">
            <w:pPr>
              <w:pStyle w:val="ListParagraph"/>
              <w:ind w:left="0"/>
              <w:rPr>
                <w:b/>
              </w:rPr>
            </w:pPr>
            <w:r>
              <w:rPr>
                <w:b/>
              </w:rPr>
              <w:t>Acids</w:t>
            </w:r>
          </w:p>
        </w:tc>
        <w:tc>
          <w:tcPr>
            <w:tcW w:w="4788" w:type="dxa"/>
          </w:tcPr>
          <w:p w:rsidR="001D6876" w:rsidRPr="001D6876" w:rsidRDefault="001D6876" w:rsidP="001D6876">
            <w:pPr>
              <w:pStyle w:val="ListParagraph"/>
              <w:ind w:left="0"/>
              <w:rPr>
                <w:b/>
              </w:rPr>
            </w:pPr>
            <w:r>
              <w:rPr>
                <w:b/>
              </w:rPr>
              <w:t>Bases</w:t>
            </w:r>
          </w:p>
        </w:tc>
      </w:tr>
      <w:tr w:rsidR="001D6876" w:rsidTr="001D6876">
        <w:tc>
          <w:tcPr>
            <w:tcW w:w="4788" w:type="dxa"/>
          </w:tcPr>
          <w:p w:rsidR="001D6876" w:rsidRDefault="001D6876" w:rsidP="001D6876">
            <w:pPr>
              <w:pStyle w:val="ListParagraph"/>
              <w:numPr>
                <w:ilvl w:val="0"/>
                <w:numId w:val="3"/>
              </w:numPr>
            </w:pPr>
            <w:r>
              <w:t>Contains a proton (H</w:t>
            </w:r>
            <w:r>
              <w:rPr>
                <w:vertAlign w:val="superscript"/>
              </w:rPr>
              <w:t>+</w:t>
            </w:r>
            <w:r>
              <w:t>)</w:t>
            </w:r>
          </w:p>
          <w:p w:rsidR="001D6876" w:rsidRDefault="001D6876" w:rsidP="001D6876">
            <w:pPr>
              <w:pStyle w:val="ListParagraph"/>
              <w:numPr>
                <w:ilvl w:val="0"/>
                <w:numId w:val="3"/>
              </w:numPr>
            </w:pPr>
            <w:r>
              <w:t>pH less than 7</w:t>
            </w:r>
          </w:p>
          <w:p w:rsidR="001D6876" w:rsidRDefault="001D6876" w:rsidP="001D6876">
            <w:pPr>
              <w:pStyle w:val="ListParagraph"/>
              <w:numPr>
                <w:ilvl w:val="0"/>
                <w:numId w:val="3"/>
              </w:numPr>
            </w:pPr>
            <w:r>
              <w:t>corrosive to metals and skin</w:t>
            </w:r>
          </w:p>
          <w:p w:rsidR="001D6876" w:rsidRDefault="001D6876" w:rsidP="001D6876">
            <w:pPr>
              <w:pStyle w:val="ListParagraph"/>
              <w:numPr>
                <w:ilvl w:val="0"/>
                <w:numId w:val="3"/>
              </w:numPr>
            </w:pPr>
            <w:r>
              <w:t>turns blue litmus paper red</w:t>
            </w:r>
          </w:p>
          <w:p w:rsidR="001D6876" w:rsidRDefault="001D6876" w:rsidP="001D6876">
            <w:pPr>
              <w:pStyle w:val="ListParagraph"/>
              <w:numPr>
                <w:ilvl w:val="0"/>
                <w:numId w:val="3"/>
              </w:numPr>
            </w:pPr>
            <w:r>
              <w:lastRenderedPageBreak/>
              <w:t>reacts with base to form water and salt</w:t>
            </w:r>
          </w:p>
          <w:p w:rsidR="001D6876" w:rsidRDefault="001D6876" w:rsidP="001D6876">
            <w:pPr>
              <w:pStyle w:val="ListParagraph"/>
              <w:numPr>
                <w:ilvl w:val="0"/>
                <w:numId w:val="3"/>
              </w:numPr>
            </w:pPr>
            <w:r>
              <w:t>proton donator</w:t>
            </w:r>
          </w:p>
        </w:tc>
        <w:tc>
          <w:tcPr>
            <w:tcW w:w="4788" w:type="dxa"/>
          </w:tcPr>
          <w:p w:rsidR="001D6876" w:rsidRDefault="001D6876" w:rsidP="001D6876">
            <w:pPr>
              <w:pStyle w:val="ListParagraph"/>
              <w:numPr>
                <w:ilvl w:val="0"/>
                <w:numId w:val="3"/>
              </w:numPr>
            </w:pPr>
            <w:r>
              <w:lastRenderedPageBreak/>
              <w:t>Contains a hydroxide group (OH</w:t>
            </w:r>
            <w:r>
              <w:rPr>
                <w:vertAlign w:val="superscript"/>
              </w:rPr>
              <w:t>-</w:t>
            </w:r>
            <w:r>
              <w:t>)</w:t>
            </w:r>
          </w:p>
          <w:p w:rsidR="001D6876" w:rsidRDefault="001D6876" w:rsidP="001D6876">
            <w:pPr>
              <w:pStyle w:val="ListParagraph"/>
              <w:numPr>
                <w:ilvl w:val="0"/>
                <w:numId w:val="3"/>
              </w:numPr>
            </w:pPr>
            <w:r>
              <w:t>pH greater than 7</w:t>
            </w:r>
          </w:p>
          <w:p w:rsidR="001D6876" w:rsidRDefault="001D6876" w:rsidP="001D6876">
            <w:pPr>
              <w:pStyle w:val="ListParagraph"/>
              <w:numPr>
                <w:ilvl w:val="0"/>
                <w:numId w:val="3"/>
              </w:numPr>
            </w:pPr>
            <w:r>
              <w:t>turns phenolphthalein pink</w:t>
            </w:r>
          </w:p>
          <w:p w:rsidR="001D6876" w:rsidRDefault="001D6876" w:rsidP="001D6876">
            <w:pPr>
              <w:pStyle w:val="ListParagraph"/>
              <w:numPr>
                <w:ilvl w:val="0"/>
                <w:numId w:val="3"/>
              </w:numPr>
            </w:pPr>
            <w:r>
              <w:t xml:space="preserve">turns red litmus paper blue </w:t>
            </w:r>
          </w:p>
          <w:p w:rsidR="001D6876" w:rsidRDefault="001D6876" w:rsidP="001D6876">
            <w:pPr>
              <w:pStyle w:val="ListParagraph"/>
              <w:numPr>
                <w:ilvl w:val="0"/>
                <w:numId w:val="3"/>
              </w:numPr>
            </w:pPr>
            <w:r>
              <w:lastRenderedPageBreak/>
              <w:t>reacts with acid to form water and salt</w:t>
            </w:r>
          </w:p>
          <w:p w:rsidR="001D6876" w:rsidRDefault="001D6876" w:rsidP="001D6876">
            <w:pPr>
              <w:pStyle w:val="ListParagraph"/>
              <w:numPr>
                <w:ilvl w:val="0"/>
                <w:numId w:val="3"/>
              </w:numPr>
            </w:pPr>
            <w:r>
              <w:t>proton acceptor</w:t>
            </w:r>
          </w:p>
        </w:tc>
      </w:tr>
    </w:tbl>
    <w:p w:rsidR="001D6876" w:rsidRDefault="001D6876" w:rsidP="001D6876"/>
    <w:p w:rsidR="001D6876" w:rsidRDefault="001D6876" w:rsidP="001D6876">
      <w:pPr>
        <w:pStyle w:val="ListParagraph"/>
        <w:numPr>
          <w:ilvl w:val="0"/>
          <w:numId w:val="2"/>
        </w:numPr>
      </w:pPr>
      <w:r>
        <w:t xml:space="preserve">Write out the neutralization reaction for </w:t>
      </w:r>
      <w:proofErr w:type="spellStart"/>
      <w:r>
        <w:t>NaOH</w:t>
      </w:r>
      <w:proofErr w:type="spellEnd"/>
      <w:r>
        <w:t xml:space="preserve"> and </w:t>
      </w:r>
      <w:proofErr w:type="spellStart"/>
      <w:r>
        <w:t>HCl</w:t>
      </w:r>
      <w:proofErr w:type="spellEnd"/>
    </w:p>
    <w:p w:rsidR="00630795" w:rsidRDefault="00630795" w:rsidP="00630795">
      <w:pPr>
        <w:pStyle w:val="ListParagraph"/>
      </w:pPr>
    </w:p>
    <w:p w:rsidR="001D6876" w:rsidRDefault="0047209F" w:rsidP="001D6876">
      <w:pPr>
        <w:pStyle w:val="ListParagraph"/>
      </w:pPr>
      <m:oMathPara>
        <m:oMath>
          <m:sSub>
            <m:sSubPr>
              <m:ctrlPr>
                <w:rPr>
                  <w:rFonts w:ascii="Cambria Math" w:hAnsi="Cambria Math"/>
                  <w:i/>
                </w:rPr>
              </m:ctrlPr>
            </m:sSubPr>
            <m:e>
              <m:r>
                <w:rPr>
                  <w:rFonts w:ascii="Cambria Math" w:hAnsi="Cambria Math"/>
                </w:rPr>
                <m:t>NaOH</m:t>
              </m:r>
            </m:e>
            <m:sub>
              <m:d>
                <m:dPr>
                  <m:ctrlPr>
                    <w:rPr>
                      <w:rFonts w:ascii="Cambria Math" w:hAnsi="Cambria Math"/>
                      <w:i/>
                    </w:rPr>
                  </m:ctrlPr>
                </m:dPr>
                <m:e>
                  <m:r>
                    <w:rPr>
                      <w:rFonts w:ascii="Cambria Math" w:hAnsi="Cambria Math"/>
                    </w:rPr>
                    <m:t>aq</m:t>
                  </m:r>
                </m:e>
              </m:d>
            </m:sub>
          </m:sSub>
          <m:r>
            <w:rPr>
              <w:rFonts w:ascii="Cambria Math" w:hAnsi="Cambria Math"/>
            </w:rPr>
            <m:t xml:space="preserve">+ </m:t>
          </m:r>
          <m:sSub>
            <m:sSubPr>
              <m:ctrlPr>
                <w:rPr>
                  <w:rFonts w:ascii="Cambria Math" w:hAnsi="Cambria Math"/>
                  <w:i/>
                </w:rPr>
              </m:ctrlPr>
            </m:sSubPr>
            <m:e>
              <m:r>
                <w:rPr>
                  <w:rFonts w:ascii="Cambria Math" w:hAnsi="Cambria Math"/>
                </w:rPr>
                <m:t>HCl</m:t>
              </m:r>
            </m:e>
            <m:sub>
              <m:r>
                <w:rPr>
                  <w:rFonts w:ascii="Cambria Math" w:hAnsi="Cambria Math"/>
                </w:rPr>
                <m:t>(aq)</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2</m:t>
              </m:r>
            </m:sub>
          </m:sSub>
          <m:sSub>
            <m:sSubPr>
              <m:ctrlPr>
                <w:rPr>
                  <w:rFonts w:ascii="Cambria Math" w:hAnsi="Cambria Math"/>
                  <w:i/>
                </w:rPr>
              </m:ctrlPr>
            </m:sSubPr>
            <m:e>
              <m:r>
                <w:rPr>
                  <w:rFonts w:ascii="Cambria Math" w:hAnsi="Cambria Math"/>
                </w:rPr>
                <m:t>O</m:t>
              </m:r>
            </m:e>
            <m:sub>
              <m:d>
                <m:dPr>
                  <m:ctrlPr>
                    <w:rPr>
                      <w:rFonts w:ascii="Cambria Math" w:hAnsi="Cambria Math"/>
                      <w:i/>
                    </w:rPr>
                  </m:ctrlPr>
                </m:dPr>
                <m:e>
                  <m:r>
                    <w:rPr>
                      <w:rFonts w:ascii="Cambria Math" w:hAnsi="Cambria Math"/>
                    </w:rPr>
                    <m:t>l</m:t>
                  </m:r>
                </m:e>
              </m:d>
            </m:sub>
          </m:sSub>
          <m:r>
            <w:rPr>
              <w:rFonts w:ascii="Cambria Math" w:hAnsi="Cambria Math"/>
            </w:rPr>
            <m:t>+</m:t>
          </m:r>
          <m:sSub>
            <m:sSubPr>
              <m:ctrlPr>
                <w:rPr>
                  <w:rFonts w:ascii="Cambria Math" w:hAnsi="Cambria Math"/>
                  <w:i/>
                </w:rPr>
              </m:ctrlPr>
            </m:sSubPr>
            <m:e>
              <m:r>
                <w:rPr>
                  <w:rFonts w:ascii="Cambria Math" w:hAnsi="Cambria Math"/>
                </w:rPr>
                <m:t>NaCl</m:t>
              </m:r>
            </m:e>
            <m:sub>
              <m:r>
                <w:rPr>
                  <w:rFonts w:ascii="Cambria Math" w:hAnsi="Cambria Math"/>
                </w:rPr>
                <m:t>(aq)</m:t>
              </m:r>
            </m:sub>
          </m:sSub>
        </m:oMath>
      </m:oMathPara>
    </w:p>
    <w:p w:rsidR="00630795" w:rsidRPr="001D6876" w:rsidRDefault="00630795" w:rsidP="001D6876">
      <w:pPr>
        <w:pStyle w:val="ListParagraph"/>
      </w:pPr>
    </w:p>
    <w:p w:rsidR="00630795" w:rsidRDefault="00630795" w:rsidP="00630795">
      <w:pPr>
        <w:pStyle w:val="ListParagraph"/>
        <w:numPr>
          <w:ilvl w:val="0"/>
          <w:numId w:val="2"/>
        </w:numPr>
        <w:spacing w:after="200" w:line="276" w:lineRule="auto"/>
      </w:pPr>
      <w:r>
        <w:t xml:space="preserve">It takes 20mL of a 2 mol/L solution of </w:t>
      </w:r>
      <w:proofErr w:type="spellStart"/>
      <w:r>
        <w:t>NaOH</w:t>
      </w:r>
      <w:proofErr w:type="spellEnd"/>
      <w:r>
        <w:t xml:space="preserve"> to neutralize 15 </w:t>
      </w:r>
      <w:proofErr w:type="spellStart"/>
      <w:r>
        <w:t>mL</w:t>
      </w:r>
      <w:proofErr w:type="spellEnd"/>
      <w:r>
        <w:t xml:space="preserve"> of an </w:t>
      </w:r>
      <w:proofErr w:type="spellStart"/>
      <w:r>
        <w:t>HCl</w:t>
      </w:r>
      <w:proofErr w:type="spellEnd"/>
      <w:r>
        <w:t xml:space="preserve"> solution of unknown concentration. Use stoichiometry to calculate the concentration of the </w:t>
      </w:r>
      <w:proofErr w:type="spellStart"/>
      <w:r>
        <w:t>HCl</w:t>
      </w:r>
      <w:proofErr w:type="spellEnd"/>
      <w:r>
        <w:t xml:space="preserve"> solution. </w:t>
      </w:r>
    </w:p>
    <w:p w:rsidR="00630795" w:rsidRPr="00D91521" w:rsidRDefault="00D91521" w:rsidP="00630795">
      <w:pPr>
        <w:rPr>
          <w:rFonts w:ascii="Times New Roman" w:eastAsia="Times New Roman" w:hAnsi="Times New Roman" w:cs="Times New Roman"/>
        </w:rPr>
      </w:pPr>
      <m:oMathPara>
        <m:oMath>
          <m:f>
            <m:fPr>
              <m:ctrlPr>
                <w:rPr>
                  <w:rFonts w:ascii="Cambria Math" w:hAnsi="Cambria Math"/>
                  <w:i/>
                </w:rPr>
              </m:ctrlPr>
            </m:fPr>
            <m:num>
              <m:eqArr>
                <m:eqArrPr>
                  <m:ctrlPr>
                    <w:rPr>
                      <w:rFonts w:ascii="Cambria Math" w:hAnsi="Cambria Math"/>
                      <w:i/>
                    </w:rPr>
                  </m:ctrlPr>
                </m:eqArrPr>
                <m:e>
                  <m:r>
                    <w:rPr>
                      <w:rFonts w:ascii="Cambria Math" w:hAnsi="Cambria Math"/>
                    </w:rPr>
                    <m:t>0.02L of NaOH∙2</m:t>
                  </m:r>
                  <m:f>
                    <m:fPr>
                      <m:ctrlPr>
                        <w:rPr>
                          <w:rFonts w:ascii="Cambria Math" w:hAnsi="Cambria Math"/>
                          <w:i/>
                        </w:rPr>
                      </m:ctrlPr>
                    </m:fPr>
                    <m:num>
                      <m:r>
                        <w:rPr>
                          <w:rFonts w:ascii="Cambria Math" w:hAnsi="Cambria Math"/>
                        </w:rPr>
                        <m:t>mol</m:t>
                      </m:r>
                    </m:num>
                    <m:den>
                      <m:r>
                        <w:rPr>
                          <w:rFonts w:ascii="Cambria Math" w:hAnsi="Cambria Math"/>
                        </w:rPr>
                        <m:t>L</m:t>
                      </m:r>
                    </m:den>
                  </m:f>
                  <m:r>
                    <w:rPr>
                      <w:rFonts w:ascii="Cambria Math" w:hAnsi="Cambria Math"/>
                    </w:rPr>
                    <m:t>NaOH∙1</m:t>
                  </m:r>
                  <m:f>
                    <m:fPr>
                      <m:ctrlPr>
                        <w:rPr>
                          <w:rFonts w:ascii="Cambria Math" w:hAnsi="Cambria Math"/>
                          <w:i/>
                        </w:rPr>
                      </m:ctrlPr>
                    </m:fPr>
                    <m:num>
                      <m:r>
                        <w:rPr>
                          <w:rFonts w:ascii="Cambria Math" w:hAnsi="Cambria Math"/>
                        </w:rPr>
                        <m:t>mol HCl</m:t>
                      </m:r>
                    </m:num>
                    <m:den>
                      <m:r>
                        <w:rPr>
                          <w:rFonts w:ascii="Cambria Math" w:hAnsi="Cambria Math"/>
                        </w:rPr>
                        <m:t>mol NaOH</m:t>
                      </m:r>
                    </m:den>
                  </m:f>
                </m:e>
                <m:e>
                  <m:r>
                    <w:rPr>
                      <w:rFonts w:ascii="Cambria Math" w:hAnsi="Cambria Math"/>
                    </w:rPr>
                    <m:t xml:space="preserve"> </m:t>
                  </m:r>
                </m:e>
              </m:eqArr>
            </m:num>
            <m:den>
              <m:r>
                <w:rPr>
                  <w:rFonts w:ascii="Cambria Math" w:hAnsi="Cambria Math"/>
                </w:rPr>
                <m:t>0.015L HCl</m:t>
              </m:r>
            </m:den>
          </m:f>
          <m:r>
            <w:rPr>
              <w:rFonts w:ascii="Cambria Math" w:hAnsi="Cambria Math"/>
            </w:rPr>
            <m:t>=2.67</m:t>
          </m:r>
          <m:f>
            <m:fPr>
              <m:ctrlPr>
                <w:rPr>
                  <w:rFonts w:ascii="Cambria Math" w:hAnsi="Cambria Math"/>
                  <w:i/>
                </w:rPr>
              </m:ctrlPr>
            </m:fPr>
            <m:num>
              <m:r>
                <w:rPr>
                  <w:rFonts w:ascii="Cambria Math" w:hAnsi="Cambria Math"/>
                </w:rPr>
                <m:t>mol</m:t>
              </m:r>
            </m:num>
            <m:den>
              <m:r>
                <w:rPr>
                  <w:rFonts w:ascii="Cambria Math" w:hAnsi="Cambria Math"/>
                </w:rPr>
                <m:t>L</m:t>
              </m:r>
            </m:den>
          </m:f>
        </m:oMath>
      </m:oMathPara>
    </w:p>
    <w:p w:rsidR="00D91521" w:rsidRPr="00D91521" w:rsidRDefault="00D91521" w:rsidP="00D91521"/>
    <w:p w:rsidR="00D91521" w:rsidRDefault="00D91521" w:rsidP="00D91521">
      <w:pPr>
        <w:rPr>
          <w:b/>
        </w:rPr>
      </w:pPr>
      <w:r>
        <w:rPr>
          <w:b/>
        </w:rPr>
        <w:t xml:space="preserve">Answers to Post-Lab </w:t>
      </w:r>
      <w:r w:rsidRPr="001D6876">
        <w:rPr>
          <w:b/>
        </w:rPr>
        <w:t>Questions</w:t>
      </w:r>
    </w:p>
    <w:p w:rsidR="001D6876" w:rsidRDefault="00D91521" w:rsidP="00D91521">
      <w:pPr>
        <w:pStyle w:val="ListParagraph"/>
        <w:numPr>
          <w:ilvl w:val="0"/>
          <w:numId w:val="5"/>
        </w:numPr>
      </w:pPr>
      <w:r>
        <w:t>The indicator for this lab is phenolphthalein. It is clear in acidic solutions and turns pink in basic solutions. It is used to determine when all the acid has been neutralized by the added base because the solution turns from clear to light pink.</w:t>
      </w:r>
    </w:p>
    <w:p w:rsidR="00D91521" w:rsidRDefault="00D91521" w:rsidP="00D91521">
      <w:pPr>
        <w:pStyle w:val="ListParagraph"/>
        <w:numPr>
          <w:ilvl w:val="0"/>
          <w:numId w:val="5"/>
        </w:numPr>
      </w:pPr>
      <w:r>
        <w:t xml:space="preserve">The titration stops when all the acid has been used up in reaction with the added base. As seen in the equation for the reaction the products of the reaction is water and salt. Both the products are harmless substances and so we are able to pour the solution down the sink. </w:t>
      </w:r>
    </w:p>
    <w:p w:rsidR="00533104" w:rsidRDefault="00B90201" w:rsidP="00C07D94">
      <w:pPr>
        <w:pStyle w:val="ListParagraph"/>
        <w:numPr>
          <w:ilvl w:val="0"/>
          <w:numId w:val="5"/>
        </w:numPr>
      </w:pPr>
      <w:r>
        <w:t xml:space="preserve">Titration reactions can be done with a small sample of a solution. It is an easy process that does not require technology or computers to determine concentration. The disadvantages of titration are that you destroy the sample in the process of determining the concentration. You also must perform a series of runs to get an accurate result. You cannot perform a titration unless you have a solution of know concentration for your titrating fluid. If the concentrations between the acid and base are great, you could waste a lot of the titrating fluid trying to determine the unknown concentration. </w:t>
      </w:r>
    </w:p>
    <w:p w:rsidR="00B90201" w:rsidRDefault="00B90201">
      <w:r>
        <w:br w:type="page"/>
      </w:r>
    </w:p>
    <w:p w:rsidR="00B90201" w:rsidRDefault="00B90201" w:rsidP="00B90201">
      <w:pPr>
        <w:pStyle w:val="Heading1"/>
      </w:pPr>
      <w:r>
        <w:lastRenderedPageBreak/>
        <w:t>Laboratory Set-Up and Diagram</w:t>
      </w:r>
    </w:p>
    <w:p w:rsidR="00161B8E" w:rsidRDefault="00B90201" w:rsidP="00B90201">
      <w:r>
        <w:t xml:space="preserve">Chemicals will be kept in the fume hood for students collect the small volumes required for the experiment. The burettes will be set up at the lab stations by the teacher prior to the class so that students don’t risk breaking them. Other glassware can be collected from the front of the classroom. </w:t>
      </w:r>
      <w:r w:rsidR="00161B8E">
        <w:t>Depending on class space and the equipment available, it might be necessary to split the class in two and have each half spend a day performing the lab while th</w:t>
      </w:r>
      <w:r w:rsidR="0040565A">
        <w:t>e other half engages in seatwork</w:t>
      </w:r>
      <w:r w:rsidR="00161B8E">
        <w:t xml:space="preserve">. </w:t>
      </w:r>
    </w:p>
    <w:p w:rsidR="00161B8E" w:rsidRDefault="00161B8E" w:rsidP="00B90201">
      <w:r>
        <w:rPr>
          <w:noProof/>
          <w:lang w:eastAsia="en-CA"/>
        </w:rPr>
        <w:drawing>
          <wp:inline distT="0" distB="0" distL="0" distR="0">
            <wp:extent cx="5930265" cy="317436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30265" cy="3174365"/>
                    </a:xfrm>
                    <a:prstGeom prst="rect">
                      <a:avLst/>
                    </a:prstGeom>
                    <a:noFill/>
                    <a:ln w="9525">
                      <a:noFill/>
                      <a:miter lim="800000"/>
                      <a:headEnd/>
                      <a:tailEnd/>
                    </a:ln>
                  </pic:spPr>
                </pic:pic>
              </a:graphicData>
            </a:graphic>
          </wp:inline>
        </w:drawing>
      </w:r>
      <w:r>
        <w:t xml:space="preserve"> </w:t>
      </w:r>
    </w:p>
    <w:p w:rsidR="00161B8E" w:rsidRDefault="00161B8E">
      <w:r>
        <w:rPr>
          <w:b/>
        </w:rPr>
        <w:t>Must-Dos before lab</w:t>
      </w:r>
    </w:p>
    <w:p w:rsidR="00161B8E" w:rsidRDefault="00161B8E" w:rsidP="00D7694C">
      <w:pPr>
        <w:pStyle w:val="ListParagraph"/>
        <w:numPr>
          <w:ilvl w:val="0"/>
          <w:numId w:val="3"/>
        </w:numPr>
        <w:spacing w:line="360" w:lineRule="auto"/>
      </w:pPr>
      <w:r>
        <w:t>Set up burettes in burette stands</w:t>
      </w:r>
      <w:r w:rsidR="0040565A">
        <w:t xml:space="preserve"> (12)</w:t>
      </w:r>
    </w:p>
    <w:p w:rsidR="0040565A" w:rsidRDefault="00161B8E" w:rsidP="00D7694C">
      <w:pPr>
        <w:pStyle w:val="ListParagraph"/>
        <w:numPr>
          <w:ilvl w:val="0"/>
          <w:numId w:val="3"/>
        </w:numPr>
        <w:spacing w:line="360" w:lineRule="auto"/>
      </w:pPr>
      <w:r>
        <w:t xml:space="preserve">Prepare </w:t>
      </w:r>
      <w:r w:rsidR="0040565A">
        <w:t>acid solutions of specific concentrations:</w:t>
      </w:r>
    </w:p>
    <w:p w:rsidR="0040565A" w:rsidRDefault="0040565A" w:rsidP="00D7694C">
      <w:pPr>
        <w:pStyle w:val="ListParagraph"/>
        <w:numPr>
          <w:ilvl w:val="1"/>
          <w:numId w:val="3"/>
        </w:numPr>
        <w:spacing w:line="360" w:lineRule="auto"/>
      </w:pPr>
      <w:r>
        <w:t xml:space="preserve">Vial A (0.1M) 500 </w:t>
      </w:r>
      <w:proofErr w:type="spellStart"/>
      <w:r>
        <w:t>mL</w:t>
      </w:r>
      <w:proofErr w:type="spellEnd"/>
    </w:p>
    <w:p w:rsidR="0040565A" w:rsidRDefault="0040565A" w:rsidP="00D7694C">
      <w:pPr>
        <w:pStyle w:val="ListParagraph"/>
        <w:numPr>
          <w:ilvl w:val="1"/>
          <w:numId w:val="3"/>
        </w:numPr>
        <w:spacing w:line="360" w:lineRule="auto"/>
      </w:pPr>
      <w:r>
        <w:t xml:space="preserve">Vial B (0.2M) 500 </w:t>
      </w:r>
      <w:proofErr w:type="spellStart"/>
      <w:r>
        <w:t>mL</w:t>
      </w:r>
      <w:proofErr w:type="spellEnd"/>
    </w:p>
    <w:p w:rsidR="0040565A" w:rsidRDefault="0040565A" w:rsidP="00D7694C">
      <w:pPr>
        <w:pStyle w:val="ListParagraph"/>
        <w:numPr>
          <w:ilvl w:val="1"/>
          <w:numId w:val="3"/>
        </w:numPr>
        <w:spacing w:line="360" w:lineRule="auto"/>
      </w:pPr>
      <w:r>
        <w:t xml:space="preserve">Vial C (0.3M) 500 </w:t>
      </w:r>
      <w:proofErr w:type="spellStart"/>
      <w:r>
        <w:t>mL</w:t>
      </w:r>
      <w:proofErr w:type="spellEnd"/>
    </w:p>
    <w:p w:rsidR="0040565A" w:rsidRDefault="0040565A" w:rsidP="00D7694C">
      <w:pPr>
        <w:pStyle w:val="ListParagraph"/>
        <w:numPr>
          <w:ilvl w:val="1"/>
          <w:numId w:val="3"/>
        </w:numPr>
        <w:spacing w:line="360" w:lineRule="auto"/>
      </w:pPr>
      <w:r>
        <w:t xml:space="preserve">Vial X (0.2M) 500 </w:t>
      </w:r>
      <w:proofErr w:type="spellStart"/>
      <w:r>
        <w:t>mL</w:t>
      </w:r>
      <w:proofErr w:type="spellEnd"/>
    </w:p>
    <w:p w:rsidR="0040565A" w:rsidRDefault="0040565A" w:rsidP="00D7694C">
      <w:pPr>
        <w:pStyle w:val="ListParagraph"/>
        <w:numPr>
          <w:ilvl w:val="0"/>
          <w:numId w:val="3"/>
        </w:numPr>
        <w:spacing w:line="360" w:lineRule="auto"/>
      </w:pPr>
      <w:r>
        <w:t xml:space="preserve">Prepare the base solution of </w:t>
      </w:r>
      <w:proofErr w:type="spellStart"/>
      <w:r>
        <w:t>NaOH</w:t>
      </w:r>
      <w:proofErr w:type="spellEnd"/>
      <w:r>
        <w:t xml:space="preserve"> (0.1 M) 3.6 L</w:t>
      </w:r>
    </w:p>
    <w:p w:rsidR="00D7694C" w:rsidRDefault="0040565A" w:rsidP="00D7694C">
      <w:pPr>
        <w:pStyle w:val="ListParagraph"/>
        <w:numPr>
          <w:ilvl w:val="0"/>
          <w:numId w:val="3"/>
        </w:numPr>
        <w:spacing w:line="360" w:lineRule="auto"/>
      </w:pPr>
      <w:r>
        <w:t>Create and acid-base waste container and place it in the fume hood</w:t>
      </w:r>
    </w:p>
    <w:p w:rsidR="00B90201" w:rsidRDefault="00D7694C" w:rsidP="00D7694C">
      <w:pPr>
        <w:pStyle w:val="ListParagraph"/>
        <w:numPr>
          <w:ilvl w:val="0"/>
          <w:numId w:val="3"/>
        </w:numPr>
        <w:spacing w:line="360" w:lineRule="auto"/>
      </w:pPr>
      <w:r w:rsidRPr="00D7694C">
        <w:t xml:space="preserve">Make sure that all the safety equipment in the classroom are in working condition and that MSDS sheets for </w:t>
      </w:r>
      <w:proofErr w:type="spellStart"/>
      <w:r w:rsidRPr="00D7694C">
        <w:t>NaOH</w:t>
      </w:r>
      <w:proofErr w:type="spellEnd"/>
      <w:r w:rsidRPr="00D7694C">
        <w:t xml:space="preserve"> and </w:t>
      </w:r>
      <w:proofErr w:type="spellStart"/>
      <w:r w:rsidRPr="00D7694C">
        <w:t>HCl</w:t>
      </w:r>
      <w:proofErr w:type="spellEnd"/>
      <w:r w:rsidRPr="00D7694C">
        <w:t xml:space="preserve"> are on hand.</w:t>
      </w:r>
    </w:p>
    <w:p w:rsidR="00D7694C" w:rsidRPr="00D7694C" w:rsidRDefault="00D7694C" w:rsidP="00D7694C">
      <w:pPr>
        <w:pStyle w:val="ListParagraph"/>
        <w:numPr>
          <w:ilvl w:val="0"/>
          <w:numId w:val="3"/>
        </w:numPr>
        <w:spacing w:line="360" w:lineRule="auto"/>
      </w:pPr>
      <w:r>
        <w:t>Run a practice titration to make sure solutions are accurate</w:t>
      </w:r>
    </w:p>
    <w:p w:rsidR="00D7694C" w:rsidRDefault="00D7694C" w:rsidP="00D7694C">
      <w:pPr>
        <w:pStyle w:val="ListParagraph"/>
        <w:numPr>
          <w:ilvl w:val="0"/>
          <w:numId w:val="3"/>
        </w:numPr>
        <w:spacing w:line="360" w:lineRule="auto"/>
      </w:pPr>
      <w:r>
        <w:lastRenderedPageBreak/>
        <w:t>Set-up supplies at the front of the classroom</w:t>
      </w:r>
    </w:p>
    <w:tbl>
      <w:tblPr>
        <w:tblStyle w:val="TableGrid"/>
        <w:tblW w:w="0" w:type="auto"/>
        <w:tblInd w:w="720" w:type="dxa"/>
        <w:tblLook w:val="04A0"/>
      </w:tblPr>
      <w:tblGrid>
        <w:gridCol w:w="4488"/>
        <w:gridCol w:w="4368"/>
      </w:tblGrid>
      <w:tr w:rsidR="00D7694C" w:rsidTr="00305FB5">
        <w:tc>
          <w:tcPr>
            <w:tcW w:w="4788" w:type="dxa"/>
          </w:tcPr>
          <w:p w:rsidR="00D7694C" w:rsidRDefault="00D7694C" w:rsidP="00305FB5">
            <w:pPr>
              <w:pStyle w:val="ListParagraph"/>
              <w:ind w:left="0"/>
            </w:pPr>
            <w:r>
              <w:t xml:space="preserve">Erlenmeyer flasks </w:t>
            </w:r>
          </w:p>
        </w:tc>
        <w:tc>
          <w:tcPr>
            <w:tcW w:w="4788" w:type="dxa"/>
          </w:tcPr>
          <w:p w:rsidR="00D7694C" w:rsidRDefault="00D7694C" w:rsidP="00305FB5">
            <w:pPr>
              <w:pStyle w:val="ListParagraph"/>
              <w:ind w:left="0"/>
            </w:pPr>
            <w:r>
              <w:t>36</w:t>
            </w:r>
          </w:p>
        </w:tc>
      </w:tr>
      <w:tr w:rsidR="00D7694C" w:rsidTr="00305FB5">
        <w:tc>
          <w:tcPr>
            <w:tcW w:w="4788" w:type="dxa"/>
          </w:tcPr>
          <w:p w:rsidR="00D7694C" w:rsidRDefault="00D7694C" w:rsidP="00305FB5">
            <w:pPr>
              <w:pStyle w:val="ListParagraph"/>
              <w:ind w:left="0"/>
            </w:pPr>
            <w:r>
              <w:t>Small beakers (150 ml)</w:t>
            </w:r>
          </w:p>
        </w:tc>
        <w:tc>
          <w:tcPr>
            <w:tcW w:w="4788" w:type="dxa"/>
          </w:tcPr>
          <w:p w:rsidR="00D7694C" w:rsidRDefault="00D7694C" w:rsidP="00305FB5">
            <w:pPr>
              <w:pStyle w:val="ListParagraph"/>
              <w:ind w:left="0"/>
            </w:pPr>
            <w:r>
              <w:t>12</w:t>
            </w:r>
          </w:p>
        </w:tc>
      </w:tr>
      <w:tr w:rsidR="00D7694C" w:rsidTr="00305FB5">
        <w:tc>
          <w:tcPr>
            <w:tcW w:w="4788" w:type="dxa"/>
          </w:tcPr>
          <w:p w:rsidR="00D7694C" w:rsidRDefault="00D7694C" w:rsidP="00305FB5">
            <w:pPr>
              <w:pStyle w:val="ListParagraph"/>
              <w:ind w:left="0"/>
            </w:pPr>
            <w:r>
              <w:t>Large beakers (500 ml)</w:t>
            </w:r>
          </w:p>
        </w:tc>
        <w:tc>
          <w:tcPr>
            <w:tcW w:w="4788" w:type="dxa"/>
          </w:tcPr>
          <w:p w:rsidR="00D7694C" w:rsidRDefault="00D7694C" w:rsidP="00305FB5">
            <w:pPr>
              <w:pStyle w:val="ListParagraph"/>
              <w:ind w:left="0"/>
            </w:pPr>
            <w:r>
              <w:t>12</w:t>
            </w:r>
          </w:p>
        </w:tc>
      </w:tr>
      <w:tr w:rsidR="00D7694C" w:rsidTr="00305FB5">
        <w:tc>
          <w:tcPr>
            <w:tcW w:w="4788" w:type="dxa"/>
          </w:tcPr>
          <w:p w:rsidR="00D7694C" w:rsidRDefault="00D7694C" w:rsidP="00305FB5">
            <w:pPr>
              <w:pStyle w:val="ListParagraph"/>
              <w:ind w:left="0"/>
            </w:pPr>
            <w:r>
              <w:t>Graduated cylinders</w:t>
            </w:r>
          </w:p>
        </w:tc>
        <w:tc>
          <w:tcPr>
            <w:tcW w:w="4788" w:type="dxa"/>
          </w:tcPr>
          <w:p w:rsidR="00D7694C" w:rsidRDefault="00D7694C" w:rsidP="00305FB5">
            <w:pPr>
              <w:pStyle w:val="ListParagraph"/>
              <w:ind w:left="0"/>
            </w:pPr>
            <w:r>
              <w:t>12</w:t>
            </w:r>
          </w:p>
        </w:tc>
      </w:tr>
      <w:tr w:rsidR="00D7694C" w:rsidTr="00305FB5">
        <w:tc>
          <w:tcPr>
            <w:tcW w:w="4788" w:type="dxa"/>
          </w:tcPr>
          <w:p w:rsidR="00D7694C" w:rsidRDefault="00D7694C" w:rsidP="00305FB5">
            <w:pPr>
              <w:pStyle w:val="ListParagraph"/>
              <w:ind w:left="0"/>
            </w:pPr>
            <w:r>
              <w:t>Water squirt bottles</w:t>
            </w:r>
          </w:p>
        </w:tc>
        <w:tc>
          <w:tcPr>
            <w:tcW w:w="4788" w:type="dxa"/>
          </w:tcPr>
          <w:p w:rsidR="00D7694C" w:rsidRDefault="00D7694C" w:rsidP="00305FB5">
            <w:pPr>
              <w:pStyle w:val="ListParagraph"/>
              <w:ind w:left="0"/>
            </w:pPr>
            <w:r>
              <w:t>6</w:t>
            </w:r>
          </w:p>
        </w:tc>
      </w:tr>
      <w:tr w:rsidR="00D7694C" w:rsidTr="00305FB5">
        <w:tc>
          <w:tcPr>
            <w:tcW w:w="4788" w:type="dxa"/>
          </w:tcPr>
          <w:p w:rsidR="00D7694C" w:rsidRDefault="00D7694C" w:rsidP="00305FB5">
            <w:pPr>
              <w:pStyle w:val="ListParagraph"/>
              <w:ind w:left="0"/>
            </w:pPr>
            <w:r>
              <w:t>Funnels (small)</w:t>
            </w:r>
          </w:p>
        </w:tc>
        <w:tc>
          <w:tcPr>
            <w:tcW w:w="4788" w:type="dxa"/>
          </w:tcPr>
          <w:p w:rsidR="00D7694C" w:rsidRDefault="00D7694C" w:rsidP="00305FB5">
            <w:pPr>
              <w:pStyle w:val="ListParagraph"/>
              <w:ind w:left="0"/>
            </w:pPr>
            <w:r>
              <w:t>12</w:t>
            </w:r>
          </w:p>
        </w:tc>
      </w:tr>
      <w:tr w:rsidR="00D7694C" w:rsidTr="00305FB5">
        <w:tc>
          <w:tcPr>
            <w:tcW w:w="4788" w:type="dxa"/>
          </w:tcPr>
          <w:p w:rsidR="00D7694C" w:rsidRDefault="00D7694C" w:rsidP="00305FB5">
            <w:pPr>
              <w:pStyle w:val="ListParagraph"/>
              <w:ind w:left="0"/>
            </w:pPr>
            <w:r>
              <w:t>Safety goggles</w:t>
            </w:r>
          </w:p>
        </w:tc>
        <w:tc>
          <w:tcPr>
            <w:tcW w:w="4788" w:type="dxa"/>
          </w:tcPr>
          <w:p w:rsidR="00D7694C" w:rsidRDefault="00D7694C" w:rsidP="00305FB5">
            <w:pPr>
              <w:pStyle w:val="ListParagraph"/>
              <w:ind w:left="0"/>
            </w:pPr>
            <w:r>
              <w:t>12</w:t>
            </w:r>
          </w:p>
        </w:tc>
      </w:tr>
      <w:tr w:rsidR="00D7694C" w:rsidTr="00305FB5">
        <w:tc>
          <w:tcPr>
            <w:tcW w:w="4788" w:type="dxa"/>
          </w:tcPr>
          <w:p w:rsidR="00D7694C" w:rsidRDefault="00D7694C" w:rsidP="00305FB5">
            <w:pPr>
              <w:pStyle w:val="ListParagraph"/>
              <w:ind w:left="0"/>
            </w:pPr>
            <w:r>
              <w:t>Gloves</w:t>
            </w:r>
          </w:p>
        </w:tc>
        <w:tc>
          <w:tcPr>
            <w:tcW w:w="4788" w:type="dxa"/>
          </w:tcPr>
          <w:p w:rsidR="00D7694C" w:rsidRDefault="00D7694C" w:rsidP="00305FB5">
            <w:pPr>
              <w:pStyle w:val="ListParagraph"/>
              <w:ind w:left="0"/>
            </w:pPr>
            <w:r>
              <w:t>1 box</w:t>
            </w:r>
          </w:p>
        </w:tc>
      </w:tr>
      <w:tr w:rsidR="00D7694C" w:rsidTr="00305FB5">
        <w:tc>
          <w:tcPr>
            <w:tcW w:w="4788" w:type="dxa"/>
          </w:tcPr>
          <w:p w:rsidR="00D7694C" w:rsidRDefault="00D7694C" w:rsidP="00305FB5">
            <w:pPr>
              <w:pStyle w:val="ListParagraph"/>
              <w:ind w:left="0"/>
            </w:pPr>
            <w:r>
              <w:t>Phenolphthalein jars</w:t>
            </w:r>
          </w:p>
        </w:tc>
        <w:tc>
          <w:tcPr>
            <w:tcW w:w="4788" w:type="dxa"/>
          </w:tcPr>
          <w:p w:rsidR="00D7694C" w:rsidRDefault="00D7694C" w:rsidP="00305FB5">
            <w:pPr>
              <w:pStyle w:val="ListParagraph"/>
              <w:ind w:left="0"/>
            </w:pPr>
            <w:r>
              <w:t>6</w:t>
            </w:r>
          </w:p>
        </w:tc>
      </w:tr>
    </w:tbl>
    <w:p w:rsidR="00D7694C" w:rsidRDefault="00D7694C" w:rsidP="00D7694C">
      <w:pPr>
        <w:rPr>
          <w:lang w:eastAsia="en-CA"/>
        </w:rPr>
      </w:pPr>
    </w:p>
    <w:p w:rsidR="00D7694C" w:rsidRDefault="00D7694C" w:rsidP="00D7694C">
      <w:pPr>
        <w:pStyle w:val="Heading1"/>
        <w:rPr>
          <w:lang w:eastAsia="en-CA"/>
        </w:rPr>
      </w:pPr>
      <w:r>
        <w:rPr>
          <w:lang w:eastAsia="en-CA"/>
        </w:rPr>
        <w:t>Assessment/Evaluation of Student Achievement</w:t>
      </w:r>
    </w:p>
    <w:p w:rsidR="00F3369A" w:rsidRDefault="00F3369A" w:rsidP="00F3369A">
      <w:pPr>
        <w:rPr>
          <w:lang w:eastAsia="en-CA"/>
        </w:rPr>
      </w:pPr>
      <w:r>
        <w:rPr>
          <w:lang w:eastAsia="en-CA"/>
        </w:rPr>
        <w:t xml:space="preserve">This labs main goal is to teach students about the titration procedure and the importance accurate results in labs. </w:t>
      </w:r>
      <w:r w:rsidR="00D7694C">
        <w:rPr>
          <w:lang w:eastAsia="en-CA"/>
        </w:rPr>
        <w:t xml:space="preserve">Students will be observed during the lab and be given descriptive feedback on their lab skills. Some specifics teachers should be looking for is accuracy in measurement, safe procedures, patience in titration. Students will be evaluated on how accurate and precise their results are. This will be based on their concentration calculations and the colour of their final solutions. </w:t>
      </w:r>
      <w:r>
        <w:rPr>
          <w:lang w:eastAsia="en-CA"/>
        </w:rPr>
        <w:t xml:space="preserve">Students will also be assessed on the pre and post-lab questions. </w:t>
      </w:r>
    </w:p>
    <w:p w:rsidR="00F3369A" w:rsidRPr="00F3369A" w:rsidRDefault="00F3369A" w:rsidP="00F3369A">
      <w:pPr>
        <w:rPr>
          <w:lang w:eastAsia="en-CA"/>
        </w:rPr>
      </w:pPr>
    </w:p>
    <w:sectPr w:rsidR="00F3369A" w:rsidRPr="00F3369A" w:rsidSect="006650B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A41CF"/>
    <w:multiLevelType w:val="hybridMultilevel"/>
    <w:tmpl w:val="2B2EFF6A"/>
    <w:lvl w:ilvl="0" w:tplc="B852AAA6">
      <w:start w:val="1"/>
      <w:numFmt w:val="bullet"/>
      <w:lvlText w:val="-"/>
      <w:lvlJc w:val="left"/>
      <w:pPr>
        <w:ind w:left="720" w:hanging="360"/>
      </w:pPr>
      <w:rPr>
        <w:rFonts w:ascii="Times New Roman" w:eastAsia="Times New Roman" w:hAnsi="Times New Roman"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8D974A0"/>
    <w:multiLevelType w:val="hybridMultilevel"/>
    <w:tmpl w:val="980C74C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59B06D91"/>
    <w:multiLevelType w:val="hybridMultilevel"/>
    <w:tmpl w:val="2AFC9280"/>
    <w:lvl w:ilvl="0" w:tplc="BBDC6894">
      <w:start w:val="1"/>
      <w:numFmt w:val="bullet"/>
      <w:lvlText w:val="•"/>
      <w:lvlJc w:val="left"/>
      <w:pPr>
        <w:tabs>
          <w:tab w:val="num" w:pos="720"/>
        </w:tabs>
        <w:ind w:left="720" w:hanging="360"/>
      </w:pPr>
      <w:rPr>
        <w:rFonts w:ascii="Times New Roman" w:hAnsi="Times New Roman" w:hint="default"/>
      </w:rPr>
    </w:lvl>
    <w:lvl w:ilvl="1" w:tplc="85A8136E" w:tentative="1">
      <w:start w:val="1"/>
      <w:numFmt w:val="bullet"/>
      <w:lvlText w:val="•"/>
      <w:lvlJc w:val="left"/>
      <w:pPr>
        <w:tabs>
          <w:tab w:val="num" w:pos="1440"/>
        </w:tabs>
        <w:ind w:left="1440" w:hanging="360"/>
      </w:pPr>
      <w:rPr>
        <w:rFonts w:ascii="Times New Roman" w:hAnsi="Times New Roman" w:hint="default"/>
      </w:rPr>
    </w:lvl>
    <w:lvl w:ilvl="2" w:tplc="E43A3FF8" w:tentative="1">
      <w:start w:val="1"/>
      <w:numFmt w:val="bullet"/>
      <w:lvlText w:val="•"/>
      <w:lvlJc w:val="left"/>
      <w:pPr>
        <w:tabs>
          <w:tab w:val="num" w:pos="2160"/>
        </w:tabs>
        <w:ind w:left="2160" w:hanging="360"/>
      </w:pPr>
      <w:rPr>
        <w:rFonts w:ascii="Times New Roman" w:hAnsi="Times New Roman" w:hint="default"/>
      </w:rPr>
    </w:lvl>
    <w:lvl w:ilvl="3" w:tplc="8C0ACBBC" w:tentative="1">
      <w:start w:val="1"/>
      <w:numFmt w:val="bullet"/>
      <w:lvlText w:val="•"/>
      <w:lvlJc w:val="left"/>
      <w:pPr>
        <w:tabs>
          <w:tab w:val="num" w:pos="2880"/>
        </w:tabs>
        <w:ind w:left="2880" w:hanging="360"/>
      </w:pPr>
      <w:rPr>
        <w:rFonts w:ascii="Times New Roman" w:hAnsi="Times New Roman" w:hint="default"/>
      </w:rPr>
    </w:lvl>
    <w:lvl w:ilvl="4" w:tplc="64BCEADA" w:tentative="1">
      <w:start w:val="1"/>
      <w:numFmt w:val="bullet"/>
      <w:lvlText w:val="•"/>
      <w:lvlJc w:val="left"/>
      <w:pPr>
        <w:tabs>
          <w:tab w:val="num" w:pos="3600"/>
        </w:tabs>
        <w:ind w:left="3600" w:hanging="360"/>
      </w:pPr>
      <w:rPr>
        <w:rFonts w:ascii="Times New Roman" w:hAnsi="Times New Roman" w:hint="default"/>
      </w:rPr>
    </w:lvl>
    <w:lvl w:ilvl="5" w:tplc="5C72EBAC" w:tentative="1">
      <w:start w:val="1"/>
      <w:numFmt w:val="bullet"/>
      <w:lvlText w:val="•"/>
      <w:lvlJc w:val="left"/>
      <w:pPr>
        <w:tabs>
          <w:tab w:val="num" w:pos="4320"/>
        </w:tabs>
        <w:ind w:left="4320" w:hanging="360"/>
      </w:pPr>
      <w:rPr>
        <w:rFonts w:ascii="Times New Roman" w:hAnsi="Times New Roman" w:hint="default"/>
      </w:rPr>
    </w:lvl>
    <w:lvl w:ilvl="6" w:tplc="DC7E87B0" w:tentative="1">
      <w:start w:val="1"/>
      <w:numFmt w:val="bullet"/>
      <w:lvlText w:val="•"/>
      <w:lvlJc w:val="left"/>
      <w:pPr>
        <w:tabs>
          <w:tab w:val="num" w:pos="5040"/>
        </w:tabs>
        <w:ind w:left="5040" w:hanging="360"/>
      </w:pPr>
      <w:rPr>
        <w:rFonts w:ascii="Times New Roman" w:hAnsi="Times New Roman" w:hint="default"/>
      </w:rPr>
    </w:lvl>
    <w:lvl w:ilvl="7" w:tplc="F56A775C" w:tentative="1">
      <w:start w:val="1"/>
      <w:numFmt w:val="bullet"/>
      <w:lvlText w:val="•"/>
      <w:lvlJc w:val="left"/>
      <w:pPr>
        <w:tabs>
          <w:tab w:val="num" w:pos="5760"/>
        </w:tabs>
        <w:ind w:left="5760" w:hanging="360"/>
      </w:pPr>
      <w:rPr>
        <w:rFonts w:ascii="Times New Roman" w:hAnsi="Times New Roman" w:hint="default"/>
      </w:rPr>
    </w:lvl>
    <w:lvl w:ilvl="8" w:tplc="7466EF4E" w:tentative="1">
      <w:start w:val="1"/>
      <w:numFmt w:val="bullet"/>
      <w:lvlText w:val="•"/>
      <w:lvlJc w:val="left"/>
      <w:pPr>
        <w:tabs>
          <w:tab w:val="num" w:pos="6480"/>
        </w:tabs>
        <w:ind w:left="6480" w:hanging="360"/>
      </w:pPr>
      <w:rPr>
        <w:rFonts w:ascii="Times New Roman" w:hAnsi="Times New Roman" w:hint="default"/>
      </w:rPr>
    </w:lvl>
  </w:abstractNum>
  <w:abstractNum w:abstractNumId="3">
    <w:nsid w:val="73DA552B"/>
    <w:multiLevelType w:val="hybridMultilevel"/>
    <w:tmpl w:val="9ADA263E"/>
    <w:lvl w:ilvl="0" w:tplc="714E61F0">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7A380099"/>
    <w:multiLevelType w:val="hybridMultilevel"/>
    <w:tmpl w:val="3A3EB4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7D94"/>
    <w:rsid w:val="00161B8E"/>
    <w:rsid w:val="001D6876"/>
    <w:rsid w:val="0040565A"/>
    <w:rsid w:val="0047209F"/>
    <w:rsid w:val="004820DF"/>
    <w:rsid w:val="00533104"/>
    <w:rsid w:val="00581B11"/>
    <w:rsid w:val="005F3ACB"/>
    <w:rsid w:val="00630795"/>
    <w:rsid w:val="006650BC"/>
    <w:rsid w:val="00A67AA8"/>
    <w:rsid w:val="00A90858"/>
    <w:rsid w:val="00B90201"/>
    <w:rsid w:val="00C07D94"/>
    <w:rsid w:val="00D7694C"/>
    <w:rsid w:val="00D91521"/>
    <w:rsid w:val="00E91973"/>
    <w:rsid w:val="00F107AC"/>
    <w:rsid w:val="00F3369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0BC"/>
  </w:style>
  <w:style w:type="paragraph" w:styleId="Heading1">
    <w:name w:val="heading 1"/>
    <w:basedOn w:val="Normal"/>
    <w:next w:val="Normal"/>
    <w:link w:val="Heading1Char"/>
    <w:uiPriority w:val="9"/>
    <w:qFormat/>
    <w:rsid w:val="00C07D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53310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7D94"/>
    <w:pPr>
      <w:spacing w:after="0" w:line="240" w:lineRule="auto"/>
    </w:pPr>
  </w:style>
  <w:style w:type="character" w:customStyle="1" w:styleId="Heading1Char">
    <w:name w:val="Heading 1 Char"/>
    <w:basedOn w:val="DefaultParagraphFont"/>
    <w:link w:val="Heading1"/>
    <w:uiPriority w:val="9"/>
    <w:rsid w:val="00C07D9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07D94"/>
    <w:pPr>
      <w:spacing w:after="0" w:line="240" w:lineRule="auto"/>
      <w:ind w:left="720"/>
      <w:contextualSpacing/>
    </w:pPr>
    <w:rPr>
      <w:rFonts w:ascii="Times New Roman" w:eastAsia="Times New Roman" w:hAnsi="Times New Roman" w:cs="Times New Roman"/>
      <w:sz w:val="24"/>
      <w:szCs w:val="24"/>
      <w:lang w:eastAsia="en-CA"/>
    </w:rPr>
  </w:style>
  <w:style w:type="character" w:customStyle="1" w:styleId="Heading3Char">
    <w:name w:val="Heading 3 Char"/>
    <w:basedOn w:val="DefaultParagraphFont"/>
    <w:link w:val="Heading3"/>
    <w:uiPriority w:val="9"/>
    <w:rsid w:val="00533104"/>
    <w:rPr>
      <w:rFonts w:asciiTheme="majorHAnsi" w:eastAsiaTheme="majorEastAsia" w:hAnsiTheme="majorHAnsi" w:cstheme="majorBidi"/>
      <w:b/>
      <w:bCs/>
      <w:color w:val="4F81BD" w:themeColor="accent1"/>
    </w:rPr>
  </w:style>
  <w:style w:type="table" w:styleId="TableGrid">
    <w:name w:val="Table Grid"/>
    <w:basedOn w:val="TableNormal"/>
    <w:uiPriority w:val="59"/>
    <w:rsid w:val="005331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D6876"/>
    <w:rPr>
      <w:color w:val="808080"/>
    </w:rPr>
  </w:style>
  <w:style w:type="paragraph" w:styleId="BalloonText">
    <w:name w:val="Balloon Text"/>
    <w:basedOn w:val="Normal"/>
    <w:link w:val="BalloonTextChar"/>
    <w:uiPriority w:val="99"/>
    <w:semiHidden/>
    <w:unhideWhenUsed/>
    <w:rsid w:val="001D68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8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5627621">
      <w:bodyDiv w:val="1"/>
      <w:marLeft w:val="0"/>
      <w:marRight w:val="0"/>
      <w:marTop w:val="0"/>
      <w:marBottom w:val="0"/>
      <w:divBdr>
        <w:top w:val="none" w:sz="0" w:space="0" w:color="auto"/>
        <w:left w:val="none" w:sz="0" w:space="0" w:color="auto"/>
        <w:bottom w:val="none" w:sz="0" w:space="0" w:color="auto"/>
        <w:right w:val="none" w:sz="0" w:space="0" w:color="auto"/>
      </w:divBdr>
    </w:div>
    <w:div w:id="1179857463">
      <w:bodyDiv w:val="1"/>
      <w:marLeft w:val="0"/>
      <w:marRight w:val="0"/>
      <w:marTop w:val="0"/>
      <w:marBottom w:val="0"/>
      <w:divBdr>
        <w:top w:val="none" w:sz="0" w:space="0" w:color="auto"/>
        <w:left w:val="none" w:sz="0" w:space="0" w:color="auto"/>
        <w:bottom w:val="none" w:sz="0" w:space="0" w:color="auto"/>
        <w:right w:val="none" w:sz="0" w:space="0" w:color="auto"/>
      </w:divBdr>
      <w:divsChild>
        <w:div w:id="19739609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4</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Nicki</dc:creator>
  <cp:lastModifiedBy>Nicki</cp:lastModifiedBy>
  <cp:revision>5</cp:revision>
  <dcterms:created xsi:type="dcterms:W3CDTF">2012-02-24T20:38:00Z</dcterms:created>
  <dcterms:modified xsi:type="dcterms:W3CDTF">2012-04-01T21:07:00Z</dcterms:modified>
</cp:coreProperties>
</file>